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Q1 : Pensez-vous que la mise en place d'un cadre expérimental relatif à des services de communications électroniques soit de nature à favoriser l'innovation ? Avez-vous des propositions sur la manière de la mettre en œuvre, en particulier en matière d'internet des objets ?</w:t>
      </w: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Nom : Alain Gérardin  - Conjonction Numérique</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xml:space="preserve">Email :  </w:t>
      </w:r>
      <w:hyperlink r:id="rId5" w:history="1">
        <w:r>
          <w:rPr>
            <w:rStyle w:val="Lienhypertexte"/>
            <w:rFonts w:ascii="Calibri" w:hAnsi="Calibri"/>
            <w:b/>
            <w:bCs/>
            <w:sz w:val="28"/>
            <w:szCs w:val="28"/>
          </w:rPr>
          <w:t>contact@conjonction-numerique.fr</w:t>
        </w:r>
      </w:hyperlink>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Commentaires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Pouvoir bénéficier d’un cadre expérimental est certainement bénéfique pour les entreprises innovantes. Est-il possible d’envisager que ce cadre permette réellement de mener des expérimentations sur une période suffisante? que l’échelle géographique soit assez large?</w:t>
      </w:r>
    </w:p>
    <w:p w:rsidR="00DD3CF3" w:rsidRDefault="00DD3CF3" w:rsidP="00DD3CF3">
      <w:pPr>
        <w:pStyle w:val="xmsonormal"/>
        <w:shd w:val="clear" w:color="auto" w:fill="FFFFFF"/>
        <w:rPr>
          <w:rFonts w:ascii="Cambria" w:hAnsi="Cambria"/>
          <w:color w:val="000000"/>
        </w:rPr>
      </w:pPr>
      <w:r>
        <w:rPr>
          <w:rFonts w:ascii="Calibri" w:hAnsi="Calibri"/>
          <w:color w:val="000000"/>
          <w:sz w:val="28"/>
          <w:szCs w:val="28"/>
        </w:rPr>
        <w:t> </w:t>
      </w:r>
    </w:p>
    <w:p w:rsidR="00DD3CF3" w:rsidRDefault="00DD3CF3" w:rsidP="00DD3CF3">
      <w:pPr>
        <w:pStyle w:val="xmsonormal"/>
        <w:shd w:val="clear" w:color="auto" w:fill="FFFFFF"/>
        <w:rPr>
          <w:rFonts w:ascii="Cambria" w:hAnsi="Cambria"/>
          <w:color w:val="000000"/>
        </w:rPr>
      </w:pP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Q2 : Considérez-vous que l'Arcep devrait avoir une implication plus importante dans les instances de normalisation internationale ? De quelle manière ?</w:t>
      </w:r>
    </w:p>
    <w:p w:rsidR="00DD3CF3" w:rsidRDefault="00DD3CF3" w:rsidP="00DD3CF3">
      <w:pPr>
        <w:pStyle w:val="xmsonormal"/>
        <w:shd w:val="clear" w:color="auto" w:fill="FFFFFF"/>
        <w:rPr>
          <w:rFonts w:ascii="Cambria" w:hAnsi="Cambria"/>
          <w:color w:val="000000"/>
        </w:rPr>
      </w:pPr>
      <w:r>
        <w:rPr>
          <w:rFonts w:ascii="Calibri" w:hAnsi="Calibri"/>
          <w:color w:val="000000"/>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Nom : Alain Gérardin  - Conjonction Numérique</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xml:space="preserve">Email :  </w:t>
      </w:r>
      <w:hyperlink r:id="rId6" w:history="1">
        <w:r>
          <w:rPr>
            <w:rStyle w:val="Lienhypertexte"/>
            <w:rFonts w:ascii="Calibri" w:hAnsi="Calibri"/>
            <w:b/>
            <w:bCs/>
            <w:sz w:val="28"/>
            <w:szCs w:val="28"/>
          </w:rPr>
          <w:t>contact@conjonction-numerique.fr</w:t>
        </w:r>
      </w:hyperlink>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Commentaires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Il est toujours pertinent qu’un grand acteur officiel national puisse prendre part aux échanges de normalisation d’une manière neutre et objective. Ceci peut éviter les excès de certains lobbying. La question est alors de mise en œuvre de mesures de restitutions ouvertes à tous les acteurs potentiels qui sont par définition parfois difficiles à identifier.</w:t>
      </w:r>
    </w:p>
    <w:p w:rsidR="00DD3CF3" w:rsidRDefault="00DD3CF3" w:rsidP="00DD3CF3">
      <w:pPr>
        <w:pStyle w:val="xmsonormal"/>
        <w:shd w:val="clear" w:color="auto" w:fill="FFFFFF"/>
        <w:rPr>
          <w:rFonts w:ascii="Cambria" w:hAnsi="Cambria"/>
          <w:color w:val="000000"/>
        </w:rPr>
      </w:pPr>
      <w:r>
        <w:rPr>
          <w:rFonts w:ascii="Calibri" w:hAnsi="Calibri"/>
          <w:color w:val="000000"/>
          <w:sz w:val="28"/>
          <w:szCs w:val="28"/>
        </w:rPr>
        <w:t> </w:t>
      </w:r>
    </w:p>
    <w:p w:rsidR="00DD3CF3" w:rsidRDefault="00DD3CF3" w:rsidP="00DD3CF3">
      <w:pPr>
        <w:pStyle w:val="xmsonormal"/>
        <w:shd w:val="clear" w:color="auto" w:fill="FFFFFF"/>
        <w:rPr>
          <w:rFonts w:ascii="Cambria" w:hAnsi="Cambria"/>
          <w:color w:val="000000"/>
        </w:rPr>
      </w:pP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Q3 : Sous quelles conditions la réutilisation ou le partage d’infrastructures, passives ou actives permet-elle, selon vous, de favoriser le déploiement de réseaux adaptés aux besoins de l’internet des objets ?</w:t>
      </w:r>
    </w:p>
    <w:p w:rsidR="00DD3CF3" w:rsidRDefault="00DD3CF3" w:rsidP="00DD3CF3">
      <w:pPr>
        <w:pStyle w:val="xmsonormal"/>
        <w:shd w:val="clear" w:color="auto" w:fill="FFFFFF"/>
        <w:rPr>
          <w:rFonts w:ascii="Cambria" w:hAnsi="Cambria"/>
          <w:color w:val="000000"/>
        </w:rPr>
      </w:pPr>
      <w:r>
        <w:rPr>
          <w:rFonts w:ascii="Calibri" w:hAnsi="Calibri"/>
          <w:color w:val="000000"/>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Nom : Alain Gérardin  - Conjonction Numérique</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xml:space="preserve">Email :  </w:t>
      </w:r>
      <w:hyperlink r:id="rId7" w:history="1">
        <w:r>
          <w:rPr>
            <w:rStyle w:val="Lienhypertexte"/>
            <w:rFonts w:ascii="Calibri" w:hAnsi="Calibri"/>
            <w:b/>
            <w:bCs/>
            <w:sz w:val="28"/>
            <w:szCs w:val="28"/>
          </w:rPr>
          <w:t>contact@conjonction-numerique.fr</w:t>
        </w:r>
      </w:hyperlink>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Commentaires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lastRenderedPageBreak/>
        <w:t>Un droit à l’accès aux points hauts dans des conditions non discriminatoires, notamment lorsqu’il s’agit de lieux publics faciliterait les déploiements de réseaux.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L’accès à une offre de fibres noires ou activées serait également de nature à faciliter les déploiements alternatifs. Les fibres noires pouvant être des fibres surnuméraires des réseaux FttH/FttE. Pour les liens actifs, eu égard aux caractéristiques des flux IoT à débits souvent faibles, et donc nécessitant un faible provisionning, une offre de gros pourrait alors être demandée aux opérateurs dominants, prenant en compte ces caractéristiques pour en abaisser le prix.</w:t>
      </w:r>
    </w:p>
    <w:p w:rsidR="00DD3CF3" w:rsidRDefault="00DD3CF3" w:rsidP="00DD3CF3">
      <w:pPr>
        <w:pStyle w:val="xmsonormal"/>
        <w:shd w:val="clear" w:color="auto" w:fill="FFFFFF"/>
        <w:rPr>
          <w:rFonts w:ascii="Cambria" w:hAnsi="Cambria"/>
          <w:color w:val="000000"/>
        </w:rPr>
      </w:pPr>
      <w:r>
        <w:rPr>
          <w:rFonts w:ascii="Calibri" w:hAnsi="Calibri"/>
          <w:color w:val="000000"/>
          <w:sz w:val="28"/>
          <w:szCs w:val="28"/>
        </w:rPr>
        <w:t> </w:t>
      </w:r>
    </w:p>
    <w:p w:rsidR="00DD3CF3" w:rsidRDefault="00DD3CF3" w:rsidP="00DD3CF3">
      <w:pPr>
        <w:pStyle w:val="xmsonormal"/>
        <w:shd w:val="clear" w:color="auto" w:fill="FFFFFF"/>
        <w:rPr>
          <w:rFonts w:ascii="Cambria" w:hAnsi="Cambria"/>
          <w:color w:val="000000"/>
        </w:rPr>
      </w:pP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Q4 : Avez-vous d’autres observations au regard des orientations énoncées ci-dessus ?</w:t>
      </w:r>
    </w:p>
    <w:p w:rsidR="00DD3CF3" w:rsidRDefault="00DD3CF3" w:rsidP="00DD3CF3">
      <w:pPr>
        <w:pStyle w:val="xmsonormal"/>
        <w:shd w:val="clear" w:color="auto" w:fill="FFFFFF"/>
        <w:rPr>
          <w:rFonts w:ascii="Cambria" w:hAnsi="Cambria"/>
          <w:color w:val="000000"/>
        </w:rPr>
      </w:pPr>
      <w:r>
        <w:rPr>
          <w:rFonts w:ascii="Calibri" w:hAnsi="Calibri"/>
          <w:color w:val="000000"/>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Nom : Alain Gérardin  - Conjonction Numérique</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xml:space="preserve">Email :  </w:t>
      </w:r>
      <w:hyperlink r:id="rId8" w:history="1">
        <w:r>
          <w:rPr>
            <w:rStyle w:val="Lienhypertexte"/>
            <w:rFonts w:ascii="Calibri" w:hAnsi="Calibri"/>
            <w:b/>
            <w:bCs/>
            <w:sz w:val="28"/>
            <w:szCs w:val="28"/>
          </w:rPr>
          <w:t>contact@conjonction-numerique.fr</w:t>
        </w:r>
      </w:hyperlink>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Commentaires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L’ARCEP pourrait demander aux quatre opérateurs titulaires de licences de téléphonie mobile, de développer une offre de gros de type MVNO spécifique aux opérateurs virtuels de l’IoT (pas de téléphonie, data faible débits, ..)</w:t>
      </w:r>
    </w:p>
    <w:p w:rsidR="00DD3CF3" w:rsidRDefault="00DD3CF3" w:rsidP="00DD3CF3">
      <w:pPr>
        <w:pStyle w:val="xmsonormal"/>
        <w:shd w:val="clear" w:color="auto" w:fill="FFFFFF"/>
        <w:rPr>
          <w:rFonts w:ascii="Cambria" w:hAnsi="Cambria"/>
          <w:color w:val="000000"/>
        </w:rPr>
      </w:pPr>
      <w:r>
        <w:rPr>
          <w:rFonts w:ascii="Calibri" w:hAnsi="Calibri"/>
          <w:color w:val="000000"/>
          <w:sz w:val="28"/>
          <w:szCs w:val="28"/>
        </w:rPr>
        <w:t> </w:t>
      </w:r>
    </w:p>
    <w:p w:rsidR="00DD3CF3" w:rsidRDefault="00DD3CF3" w:rsidP="00DD3CF3">
      <w:pPr>
        <w:pStyle w:val="xmsonormal"/>
        <w:shd w:val="clear" w:color="auto" w:fill="FFFFFF"/>
        <w:rPr>
          <w:rFonts w:ascii="Cambria" w:hAnsi="Cambria"/>
          <w:color w:val="000000"/>
        </w:rPr>
      </w:pPr>
      <w:r>
        <w:rPr>
          <w:rFonts w:ascii="Calibri" w:hAnsi="Calibri"/>
          <w:color w:val="000000"/>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Q5 La mise en place d’un portail des fréquences libres vous semble-t-elle pertinente ? Que pensez-vous de la faisabilité de mise en oeuvre d’un dispositif d’évaluation des usages en bandes libres ? Comment surmonter le fait que, par construction, l’Arcep ne connaît pas ex ante les utilisateurs de fréquences libres (au contraire des fréquences attribuées par autorisations) ? Avez-vous des commentaires supplémentaires relatifs aux bandes libres, notamment leur identification ou règles d’utilisation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Nom : Alain Gérardin  - Conjonction Numérique</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xml:space="preserve">Email :  </w:t>
      </w:r>
      <w:hyperlink r:id="rId9" w:history="1">
        <w:r>
          <w:rPr>
            <w:rStyle w:val="Lienhypertexte"/>
            <w:rFonts w:ascii="Calibri" w:hAnsi="Calibri"/>
            <w:b/>
            <w:bCs/>
            <w:sz w:val="28"/>
            <w:szCs w:val="28"/>
          </w:rPr>
          <w:t>contact@conjonction-numerique.fr</w:t>
        </w:r>
      </w:hyperlink>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Commentaires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La mise en place d’un portail des fréquences serait une bonne chose car cela ne peut que contribuer au développement de la dynamique.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lastRenderedPageBreak/>
        <w:t>L’ARCEP doit être vigilante sur le risque d’encombrement des fréquences liées à la montée en charge de l’IoT, et élargir autant que faire se peut, le spectre des fréquences allouées.</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Il pourrait être intéressant que l’ARCEP mette en place un protocole de mesures permettant d’identifier d’éventuels abus d’utilisation des fréquences libres sur une zone (matériel, périodes de mesures, …) </w:t>
      </w:r>
    </w:p>
    <w:p w:rsidR="00DD3CF3" w:rsidRDefault="00DD3CF3" w:rsidP="00DD3CF3">
      <w:pPr>
        <w:pStyle w:val="xmsonormal"/>
        <w:shd w:val="clear" w:color="auto" w:fill="FFFFFF"/>
        <w:rPr>
          <w:rFonts w:ascii="Cambria" w:hAnsi="Cambria"/>
          <w:color w:val="000000"/>
        </w:rPr>
      </w:pPr>
      <w:r>
        <w:rPr>
          <w:rFonts w:ascii="Calibri" w:hAnsi="Calibri"/>
          <w:color w:val="000000"/>
          <w:sz w:val="28"/>
          <w:szCs w:val="28"/>
        </w:rPr>
        <w:t> </w:t>
      </w:r>
    </w:p>
    <w:p w:rsidR="00DD3CF3" w:rsidRDefault="00DD3CF3" w:rsidP="00DD3CF3">
      <w:pPr>
        <w:pStyle w:val="xmsonormal"/>
        <w:shd w:val="clear" w:color="auto" w:fill="FFFFFF"/>
        <w:rPr>
          <w:rFonts w:ascii="Cambria" w:hAnsi="Cambria"/>
          <w:color w:val="000000"/>
        </w:rPr>
      </w:pPr>
      <w:r>
        <w:rPr>
          <w:rFonts w:ascii="Calibri" w:hAnsi="Calibri"/>
          <w:color w:val="000000"/>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Q6 : Quelle est votre vision de la pénurie des identifiants, notamment IP, dans le cadre de l’internet des objets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Nom : Alain Gérardin  - Conjonction Numérique</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xml:space="preserve">Email :  </w:t>
      </w:r>
      <w:hyperlink r:id="rId10" w:history="1">
        <w:r>
          <w:rPr>
            <w:rStyle w:val="Lienhypertexte"/>
            <w:rFonts w:ascii="Calibri" w:hAnsi="Calibri"/>
            <w:b/>
            <w:bCs/>
            <w:sz w:val="28"/>
            <w:szCs w:val="28"/>
          </w:rPr>
          <w:t>contact@conjonction-numerique.fr</w:t>
        </w:r>
      </w:hyperlink>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Commentaires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Les fréquences IPv4 sont aujourd’hui peu accessibles aux nouveaux entrants (sauf marché parallèle). L’adressage en IPv6 s’impose alors.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D’autres systèmes d’adressages sont spécifiques  aux protocoles de l’IoT.  A terme l’affectation de ces ressources spécifiques, pourrait être bloquant pour le développement des industriels nationaux.</w:t>
      </w: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 </w:t>
      </w:r>
    </w:p>
    <w:p w:rsidR="00DD3CF3" w:rsidRDefault="00DD3CF3" w:rsidP="00DD3CF3">
      <w:pPr>
        <w:pStyle w:val="xmsonormal"/>
        <w:shd w:val="clear" w:color="auto" w:fill="FFFFFF"/>
        <w:rPr>
          <w:rFonts w:ascii="Cambria" w:hAnsi="Cambria"/>
          <w:color w:val="000000"/>
        </w:rPr>
      </w:pP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Q7 : Avez-vous d’autres observations au regard des orientations énoncées ci-dessus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Nom : Alain Gérardin  - Conjonction Numérique</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xml:space="preserve">Email :  </w:t>
      </w:r>
      <w:hyperlink r:id="rId11" w:history="1">
        <w:r>
          <w:rPr>
            <w:rStyle w:val="Lienhypertexte"/>
            <w:rFonts w:ascii="Calibri" w:hAnsi="Calibri"/>
            <w:b/>
            <w:bCs/>
            <w:sz w:val="28"/>
            <w:szCs w:val="28"/>
          </w:rPr>
          <w:t>contact@conjonction-numerique.fr</w:t>
        </w:r>
      </w:hyperlink>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Commentaires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Se poseront tôt ou tard les questions de la couverture effective des territoires notamment en zone rurale. L’ARCEP intervient sur la couverture du territoire en téléphonie et l’internet mobile, il pourrait être pertinent de prolonger les réflexions engagées sur la couverture territoriale en mobilité en y intégrant les problématiques de l’IoT, notamment sur les questions de réception dans des lieux enterrés ou en indoor. Des cartes de couvertures pourraient venir compléter les mesures traditionnelles de réception.</w:t>
      </w:r>
    </w:p>
    <w:p w:rsidR="00DD3CF3" w:rsidRDefault="00DD3CF3" w:rsidP="00DD3CF3">
      <w:pPr>
        <w:pStyle w:val="xmsonormal"/>
        <w:shd w:val="clear" w:color="auto" w:fill="FFFFFF"/>
        <w:rPr>
          <w:rFonts w:ascii="Cambria" w:hAnsi="Cambria"/>
          <w:color w:val="000000"/>
        </w:rPr>
      </w:pPr>
      <w:r>
        <w:rPr>
          <w:rFonts w:ascii="Calibri" w:hAnsi="Calibri"/>
          <w:b/>
          <w:bCs/>
          <w:color w:val="000000"/>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000000"/>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lastRenderedPageBreak/>
        <w:t>Q9 :  La généralisation des solutions de mise à jour à distance des cartes SIM vous semble-t-elle pertinente pour favoriser l’ouverture de l’internet des objets ? Quelle devrait être selon vous l’action de l’Arcep à cet égard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Nom : Alain Gérardin  - Conjonction Numérique</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xml:space="preserve">Email :  </w:t>
      </w:r>
      <w:hyperlink r:id="rId12" w:history="1">
        <w:r>
          <w:rPr>
            <w:rStyle w:val="Lienhypertexte"/>
            <w:rFonts w:ascii="Calibri" w:hAnsi="Calibri"/>
            <w:b/>
            <w:bCs/>
            <w:sz w:val="28"/>
            <w:szCs w:val="28"/>
          </w:rPr>
          <w:t>contact@conjonction-numerique.fr</w:t>
        </w:r>
      </w:hyperlink>
    </w:p>
    <w:p w:rsidR="00DD3CF3" w:rsidRDefault="00DD3CF3" w:rsidP="00DD3CF3">
      <w:pPr>
        <w:pStyle w:val="xmsonormal"/>
        <w:shd w:val="clear" w:color="auto" w:fill="FFFFFF"/>
        <w:rPr>
          <w:rFonts w:ascii="Cambria" w:hAnsi="Cambria"/>
          <w:color w:val="000000"/>
        </w:rPr>
      </w:pPr>
      <w:r>
        <w:rPr>
          <w:rFonts w:ascii="Calibri" w:hAnsi="Calibri"/>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color w:val="1D183E"/>
          <w:sz w:val="28"/>
          <w:szCs w:val="28"/>
        </w:rPr>
        <w:t>Commentaires :</w:t>
      </w:r>
    </w:p>
    <w:p w:rsidR="00DD3CF3" w:rsidRDefault="00DD3CF3" w:rsidP="00DD3CF3">
      <w:pPr>
        <w:pStyle w:val="xmsonormal"/>
        <w:shd w:val="clear" w:color="auto" w:fill="FFFFFF"/>
        <w:rPr>
          <w:rFonts w:ascii="Cambria" w:hAnsi="Cambria"/>
          <w:color w:val="000000"/>
        </w:rPr>
      </w:pPr>
      <w:r>
        <w:rPr>
          <w:rFonts w:ascii="Calibri" w:hAnsi="Calibri"/>
          <w:color w:val="000000"/>
          <w:sz w:val="28"/>
          <w:szCs w:val="28"/>
        </w:rPr>
        <w:t>Une démarche de mise à jour à distance des cartes SIM est une bonne chose, elle devra évidemment être très sécurisée.</w:t>
      </w:r>
    </w:p>
    <w:p w:rsidR="00DD3CF3" w:rsidRDefault="00DD3CF3" w:rsidP="00DD3CF3">
      <w:pPr>
        <w:pStyle w:val="xmsonormal"/>
        <w:shd w:val="clear" w:color="auto" w:fill="FFFFFF"/>
        <w:rPr>
          <w:rFonts w:ascii="Cambria" w:hAnsi="Cambria"/>
          <w:color w:val="000000"/>
        </w:rPr>
      </w:pPr>
      <w:r>
        <w:rPr>
          <w:rFonts w:ascii="Calibri" w:hAnsi="Calibri"/>
          <w:b/>
          <w:bCs/>
          <w:color w:val="000000"/>
          <w:sz w:val="28"/>
          <w:szCs w:val="28"/>
        </w:rPr>
        <w:t> </w:t>
      </w:r>
    </w:p>
    <w:p w:rsidR="00DD3CF3" w:rsidRDefault="00DD3CF3" w:rsidP="00DD3CF3">
      <w:pPr>
        <w:pStyle w:val="xmsonormal"/>
        <w:shd w:val="clear" w:color="auto" w:fill="FFFFFF"/>
        <w:rPr>
          <w:rFonts w:ascii="Cambria" w:hAnsi="Cambria"/>
          <w:color w:val="000000"/>
        </w:rPr>
      </w:pPr>
    </w:p>
    <w:p w:rsidR="00DD3CF3" w:rsidRDefault="00DD3CF3" w:rsidP="00DD3CF3">
      <w:pPr>
        <w:pStyle w:val="xmsonormal"/>
        <w:shd w:val="clear" w:color="auto" w:fill="FFFFFF"/>
        <w:rPr>
          <w:rFonts w:ascii="Cambria" w:hAnsi="Cambria"/>
          <w:color w:val="000000"/>
        </w:rPr>
      </w:pP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Q10 : Enfin, la définition par les pouvoirs publics d’un référentiel commun de comparaison des offres de connectivité vous semble-t-elle appropriée ? En particulier, une implication de l’Arcep au sujet des cartes de couverture des réseaux supports de l’internet des objet vous semble-t-elle souhaitable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Nom : Alain Gérardin  - Conjonction Numérique</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xml:space="preserve">Email :  </w:t>
      </w:r>
      <w:hyperlink r:id="rId13" w:history="1">
        <w:r>
          <w:rPr>
            <w:rStyle w:val="Lienhypertexte"/>
            <w:rFonts w:ascii="Calibri" w:hAnsi="Calibri"/>
            <w:b/>
            <w:bCs/>
            <w:sz w:val="28"/>
            <w:szCs w:val="28"/>
          </w:rPr>
          <w:t>contact@conjonction-numerique.fr</w:t>
        </w:r>
      </w:hyperlink>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Commentaires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Si la mise en place d’un référentiel commun de comparaison des offres de connectivités semble délicat à mettre en place pour les offres en fréquences libres, il pourrait être intéressant (comme indiqué au §7) que l’ARCEP étende les cartes de couvertures des quatre opérateurs mobiles avec des cartes « indoor » (données pour un affaiblissement moyen typiquement -3dB), et « enterrées »  (cas des compteurs d’eau par exemple). </w:t>
      </w:r>
    </w:p>
    <w:p w:rsidR="00DD3CF3" w:rsidRDefault="00DD3CF3" w:rsidP="00DD3CF3">
      <w:pPr>
        <w:pStyle w:val="xmsonormal"/>
        <w:shd w:val="clear" w:color="auto" w:fill="FFFFFF"/>
        <w:rPr>
          <w:rFonts w:ascii="Cambria" w:hAnsi="Cambria"/>
          <w:color w:val="000000"/>
        </w:rPr>
      </w:pPr>
      <w:r>
        <w:rPr>
          <w:rFonts w:ascii="Calibri" w:hAnsi="Calibri"/>
          <w:b/>
          <w:bCs/>
          <w:color w:val="000000"/>
          <w:sz w:val="28"/>
          <w:szCs w:val="28"/>
        </w:rPr>
        <w:t> </w:t>
      </w:r>
    </w:p>
    <w:p w:rsidR="00DD3CF3" w:rsidRDefault="00DD3CF3" w:rsidP="00DD3CF3">
      <w:pPr>
        <w:pStyle w:val="xmsonormal"/>
        <w:shd w:val="clear" w:color="auto" w:fill="FFFFFF"/>
        <w:rPr>
          <w:rFonts w:ascii="Cambria" w:hAnsi="Cambria"/>
          <w:color w:val="000000"/>
        </w:rPr>
      </w:pP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Q13 : Avez-vous des suggestions sur les thématiques que l’Arcep pourra aborder à l’avenir lors de nouveaux atelier sur l’internet des objets ou sur la manière dont les retours d’expériences pourraient être partagés entre pouvoirs publics et utilisateurs ? Avez-vous d’autres propositions qui permettraient de poursuivre le dialogue initié, notamment, par la présente démarche ?</w:t>
      </w: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Nom : Alain Gérardin  - Conjonction Numérique</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lastRenderedPageBreak/>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xml:space="preserve">Email :  </w:t>
      </w:r>
      <w:hyperlink r:id="rId14" w:history="1">
        <w:r>
          <w:rPr>
            <w:rStyle w:val="Lienhypertexte"/>
            <w:rFonts w:ascii="Calibri" w:hAnsi="Calibri"/>
            <w:b/>
            <w:bCs/>
            <w:sz w:val="28"/>
            <w:szCs w:val="28"/>
          </w:rPr>
          <w:t>contact@conjonction-numerique.fr</w:t>
        </w:r>
      </w:hyperlink>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Commentaires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La sensibilisation et l’aide des PME/TPE à la transition vers IoT ne font pas partie des missions de l’ARCEP.  Or le monde de l’IoT semble très éloigné pour beaucoup d’industriels de PME et TPE, pourtant leur survie tient en partie à la capacité d’intégrer ces technologies dans leurs produits. Les puissances publiques travaillant avec l’ARCEP sur ces thématiques doivent prendre des mesures et développer des aides à la sensibilisation ou à l’accompagnement des démarches d’entreprises.</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000000"/>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EE414F"/>
          <w:sz w:val="28"/>
          <w:szCs w:val="28"/>
        </w:rPr>
        <w:t>Q14 : Avez-vous tout autre remarque ou commentaire que vous souhaitez communiquer au sujet des orientations pour l’Arcep qui sont présentées dans ce document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Nom : Alain Gérardin  - Conjonction Numérique</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xml:space="preserve">Email :  </w:t>
      </w:r>
      <w:hyperlink r:id="rId15" w:history="1">
        <w:r>
          <w:rPr>
            <w:rStyle w:val="Lienhypertexte"/>
            <w:rFonts w:ascii="Calibri" w:hAnsi="Calibri"/>
            <w:b/>
            <w:bCs/>
            <w:sz w:val="28"/>
            <w:szCs w:val="28"/>
          </w:rPr>
          <w:t>contact@conjonction-numerique.fr</w:t>
        </w:r>
      </w:hyperlink>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 </w:t>
      </w:r>
    </w:p>
    <w:p w:rsidR="00DD3CF3" w:rsidRDefault="00DD3CF3" w:rsidP="00DD3CF3">
      <w:pPr>
        <w:pStyle w:val="xmsonormal"/>
        <w:shd w:val="clear" w:color="auto" w:fill="FFFFFF"/>
        <w:rPr>
          <w:rFonts w:ascii="Cambria" w:hAnsi="Cambria"/>
          <w:color w:val="000000"/>
        </w:rPr>
      </w:pPr>
      <w:r>
        <w:rPr>
          <w:rFonts w:ascii="Calibri" w:hAnsi="Calibri"/>
          <w:b/>
          <w:bCs/>
          <w:color w:val="1D183E"/>
          <w:sz w:val="28"/>
          <w:szCs w:val="28"/>
        </w:rPr>
        <w:t>Commentaires :</w:t>
      </w:r>
    </w:p>
    <w:p w:rsidR="00DD3CF3" w:rsidRDefault="00DD3CF3" w:rsidP="00DD3CF3">
      <w:pPr>
        <w:pStyle w:val="xmsonormal"/>
        <w:shd w:val="clear" w:color="auto" w:fill="FFFFFF"/>
        <w:rPr>
          <w:rFonts w:ascii="Cambria" w:hAnsi="Cambria"/>
          <w:color w:val="000000"/>
        </w:rPr>
      </w:pPr>
      <w:r>
        <w:rPr>
          <w:rFonts w:ascii="Calibri" w:hAnsi="Calibri"/>
          <w:i/>
          <w:iCs/>
          <w:color w:val="000000"/>
          <w:sz w:val="28"/>
          <w:szCs w:val="28"/>
        </w:rPr>
        <w:t>Il est important d’avoir une grande réactivité lors que se mettent en place sur une nouvelles plage de fréquences, et que les acteurs nationaux de l’IoT puissent développer sans prendre de retard.</w:t>
      </w:r>
    </w:p>
    <w:p w:rsidR="00DD3CF3" w:rsidRDefault="00DD3CF3" w:rsidP="00DD3CF3">
      <w:pPr>
        <w:pStyle w:val="NormalWeb"/>
        <w:shd w:val="clear" w:color="auto" w:fill="FFFFFF"/>
        <w:rPr>
          <w:rFonts w:ascii="Calibri" w:hAnsi="Calibri"/>
          <w:color w:val="000000"/>
        </w:rPr>
      </w:pPr>
    </w:p>
    <w:p w:rsidR="00DD3CF3" w:rsidRDefault="00DD3CF3" w:rsidP="00DD3CF3">
      <w:pPr>
        <w:pStyle w:val="NormalWeb"/>
        <w:shd w:val="clear" w:color="auto" w:fill="FFFFFF"/>
        <w:rPr>
          <w:rFonts w:ascii="Calibri" w:hAnsi="Calibri"/>
          <w:color w:val="000000"/>
        </w:rPr>
      </w:pPr>
    </w:p>
    <w:p w:rsidR="00DD3CF3" w:rsidRDefault="00DD3CF3" w:rsidP="00DD3CF3">
      <w:pPr>
        <w:pStyle w:val="NormalWeb"/>
        <w:shd w:val="clear" w:color="auto" w:fill="FFFFFF"/>
        <w:rPr>
          <w:rFonts w:ascii="Calibri" w:hAnsi="Calibri"/>
          <w:color w:val="000000"/>
        </w:rPr>
      </w:pPr>
    </w:p>
    <w:p w:rsidR="00DD3CF3" w:rsidRDefault="00DD3CF3" w:rsidP="00DD3CF3">
      <w:pPr>
        <w:pStyle w:val="NormalWeb"/>
        <w:shd w:val="clear" w:color="auto" w:fill="FFFFFF"/>
        <w:rPr>
          <w:rFonts w:ascii="Calibri" w:hAnsi="Calibri"/>
          <w:color w:val="000000"/>
        </w:rPr>
      </w:pPr>
      <w:r>
        <w:rPr>
          <w:rFonts w:ascii="Calibri" w:hAnsi="Calibri"/>
          <w:color w:val="000000"/>
        </w:rPr>
        <w:t>Alain Gérardin</w:t>
      </w:r>
    </w:p>
    <w:p w:rsidR="00DD3CF3" w:rsidRDefault="00DD3CF3" w:rsidP="00DD3CF3">
      <w:pPr>
        <w:pStyle w:val="NormalWeb"/>
        <w:shd w:val="clear" w:color="auto" w:fill="FFFFFF"/>
        <w:rPr>
          <w:rFonts w:ascii="Calibri" w:hAnsi="Calibri"/>
          <w:color w:val="000000"/>
        </w:rPr>
      </w:pPr>
      <w:r>
        <w:rPr>
          <w:rFonts w:ascii="Calibri" w:hAnsi="Calibri"/>
          <w:color w:val="000000"/>
        </w:rPr>
        <w:t>Conjonction Numérique</w:t>
      </w:r>
    </w:p>
    <w:p w:rsidR="00DD3CF3" w:rsidRDefault="00DD3CF3" w:rsidP="00DD3CF3">
      <w:pPr>
        <w:pStyle w:val="NormalWeb"/>
        <w:shd w:val="clear" w:color="auto" w:fill="FFFFFF"/>
        <w:rPr>
          <w:rFonts w:ascii="Calibri" w:hAnsi="Calibri"/>
          <w:color w:val="000000"/>
        </w:rPr>
      </w:pPr>
      <w:hyperlink r:id="rId16" w:history="1">
        <w:r>
          <w:rPr>
            <w:rStyle w:val="Lienhypertexte"/>
            <w:rFonts w:ascii="Calibri" w:hAnsi="Calibri"/>
          </w:rPr>
          <w:t>www.conjonction-numerique.fr</w:t>
        </w:r>
      </w:hyperlink>
    </w:p>
    <w:p w:rsidR="00DD3CF3" w:rsidRDefault="00DD3CF3" w:rsidP="00DD3CF3">
      <w:pPr>
        <w:pStyle w:val="NormalWeb"/>
        <w:shd w:val="clear" w:color="auto" w:fill="FFFFFF"/>
        <w:rPr>
          <w:rFonts w:ascii="Calibri" w:hAnsi="Calibri"/>
          <w:color w:val="000000"/>
        </w:rPr>
      </w:pPr>
      <w:r>
        <w:rPr>
          <w:rFonts w:ascii="Calibri" w:hAnsi="Calibri"/>
          <w:color w:val="000000"/>
        </w:rPr>
        <w:t>06 83 71 09 58 </w:t>
      </w:r>
    </w:p>
    <w:p w:rsidR="007E5B91" w:rsidRDefault="007E5B91">
      <w:bookmarkStart w:id="0" w:name="_GoBack"/>
      <w:bookmarkEnd w:id="0"/>
    </w:p>
    <w:sectPr w:rsidR="007E5B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CF3"/>
    <w:rsid w:val="007E5B91"/>
    <w:rsid w:val="00DD3C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DD3CF3"/>
    <w:rPr>
      <w:color w:val="0000FF"/>
      <w:u w:val="single"/>
    </w:rPr>
  </w:style>
  <w:style w:type="paragraph" w:styleId="NormalWeb">
    <w:name w:val="Normal (Web)"/>
    <w:basedOn w:val="Normal"/>
    <w:uiPriority w:val="99"/>
    <w:semiHidden/>
    <w:unhideWhenUsed/>
    <w:rsid w:val="00DD3CF3"/>
    <w:pPr>
      <w:spacing w:after="0" w:line="240" w:lineRule="auto"/>
    </w:pPr>
    <w:rPr>
      <w:rFonts w:ascii="Times New Roman" w:hAnsi="Times New Roman" w:cs="Times New Roman"/>
      <w:sz w:val="24"/>
      <w:szCs w:val="24"/>
      <w:lang w:eastAsia="fr-FR"/>
    </w:rPr>
  </w:style>
  <w:style w:type="paragraph" w:customStyle="1" w:styleId="xmsonormal">
    <w:name w:val="x_msonormal"/>
    <w:basedOn w:val="Normal"/>
    <w:uiPriority w:val="99"/>
    <w:semiHidden/>
    <w:rsid w:val="00DD3CF3"/>
    <w:pPr>
      <w:spacing w:after="0" w:line="240" w:lineRule="auto"/>
    </w:pPr>
    <w:rPr>
      <w:rFonts w:ascii="Times New Roman" w:hAnsi="Times New Roman" w:cs="Times New Roman"/>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DD3CF3"/>
    <w:rPr>
      <w:color w:val="0000FF"/>
      <w:u w:val="single"/>
    </w:rPr>
  </w:style>
  <w:style w:type="paragraph" w:styleId="NormalWeb">
    <w:name w:val="Normal (Web)"/>
    <w:basedOn w:val="Normal"/>
    <w:uiPriority w:val="99"/>
    <w:semiHidden/>
    <w:unhideWhenUsed/>
    <w:rsid w:val="00DD3CF3"/>
    <w:pPr>
      <w:spacing w:after="0" w:line="240" w:lineRule="auto"/>
    </w:pPr>
    <w:rPr>
      <w:rFonts w:ascii="Times New Roman" w:hAnsi="Times New Roman" w:cs="Times New Roman"/>
      <w:sz w:val="24"/>
      <w:szCs w:val="24"/>
      <w:lang w:eastAsia="fr-FR"/>
    </w:rPr>
  </w:style>
  <w:style w:type="paragraph" w:customStyle="1" w:styleId="xmsonormal">
    <w:name w:val="x_msonormal"/>
    <w:basedOn w:val="Normal"/>
    <w:uiPriority w:val="99"/>
    <w:semiHidden/>
    <w:rsid w:val="00DD3CF3"/>
    <w:pPr>
      <w:spacing w:after="0" w:line="240" w:lineRule="auto"/>
    </w:pPr>
    <w:rPr>
      <w:rFonts w:ascii="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37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conjonction-numerique.fr" TargetMode="External"/><Relationship Id="rId13" Type="http://schemas.openxmlformats.org/officeDocument/2006/relationships/hyperlink" Target="mailto:contact@conjonction-numerique.f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ntact@conjonction-numerique.fr" TargetMode="External"/><Relationship Id="rId12" Type="http://schemas.openxmlformats.org/officeDocument/2006/relationships/hyperlink" Target="mailto:contact@conjonction-numerique.fr"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conjonction-numerique.fr/" TargetMode="External"/><Relationship Id="rId1" Type="http://schemas.openxmlformats.org/officeDocument/2006/relationships/styles" Target="styles.xml"/><Relationship Id="rId6" Type="http://schemas.openxmlformats.org/officeDocument/2006/relationships/hyperlink" Target="mailto:contact@conjonction-numerique.fr" TargetMode="External"/><Relationship Id="rId11" Type="http://schemas.openxmlformats.org/officeDocument/2006/relationships/hyperlink" Target="mailto:contact@conjonction-numerique.fr" TargetMode="External"/><Relationship Id="rId5" Type="http://schemas.openxmlformats.org/officeDocument/2006/relationships/hyperlink" Target="mailto:contact@conjonction-numerique.fr" TargetMode="External"/><Relationship Id="rId15" Type="http://schemas.openxmlformats.org/officeDocument/2006/relationships/hyperlink" Target="mailto:contact@conjonction-numerique.fr" TargetMode="External"/><Relationship Id="rId10" Type="http://schemas.openxmlformats.org/officeDocument/2006/relationships/hyperlink" Target="mailto:contact@conjonction-numerique.fr" TargetMode="External"/><Relationship Id="rId4" Type="http://schemas.openxmlformats.org/officeDocument/2006/relationships/webSettings" Target="webSettings.xml"/><Relationship Id="rId9" Type="http://schemas.openxmlformats.org/officeDocument/2006/relationships/hyperlink" Target="mailto:contact@conjonction-numerique.fr" TargetMode="External"/><Relationship Id="rId14" Type="http://schemas.openxmlformats.org/officeDocument/2006/relationships/hyperlink" Target="mailto:contact@conjonction-numeriqu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1321</Words>
  <Characters>7267</Characters>
  <Application>Microsoft Office Word</Application>
  <DocSecurity>0</DocSecurity>
  <Lines>60</Lines>
  <Paragraphs>17</Paragraphs>
  <ScaleCrop>false</ScaleCrop>
  <Company>ARCEP</Company>
  <LinksUpToDate>false</LinksUpToDate>
  <CharactersWithSpaces>8571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Administrateur</cp:lastModifiedBy>
  <cp:revision>2</cp:revision>
  <dcterms:created xsi:type="dcterms:W3CDTF">2016-09-16T15:23:00Z</dcterms:created>
  <dcterms:modified xsi:type="dcterms:W3CDTF">2016-09-16T15:24:00Z</dcterms:modified>
</cp:coreProperties>
</file>